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45"/>
        <w:gridCol w:w="8925"/>
        <w:tblGridChange w:id="0">
          <w:tblGrid>
            <w:gridCol w:w="2145"/>
            <w:gridCol w:w="8925"/>
          </w:tblGrid>
        </w:tblGridChange>
      </w:tblGrid>
      <w:tr>
        <w:trPr>
          <w:cantSplit w:val="0"/>
          <w:trHeight w:val="175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194.0" w:type="dxa"/>
            </w:tcMar>
          </w:tcPr>
          <w:p w:rsidR="00000000" w:rsidDel="00000000" w:rsidP="00000000" w:rsidRDefault="00000000" w:rsidRPr="00000000" w14:paraId="00000002">
            <w:pPr>
              <w:ind w:right="114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371215" cy="926465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215" cy="926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3132 N. SWAN RD.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1"/>
                <w:szCs w:val="21"/>
                <w:rtl w:val="0"/>
              </w:rPr>
              <w:t xml:space="preserve">∙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TUCSON, ARIZONA 85712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1"/>
                <w:szCs w:val="21"/>
                <w:rtl w:val="0"/>
              </w:rPr>
              <w:t xml:space="preserve">∙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520-326-3686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1"/>
                <w:szCs w:val="21"/>
                <w:rtl w:val="0"/>
              </w:rPr>
              <w:t xml:space="preserve">∙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ANGELCHARITY.ORG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leader="none" w:pos="1788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2024 Executive 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1788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Committee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General Chair 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Kellie Terhune Neely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0"/>
                <w:szCs w:val="1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Vice Chair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Dawn Darling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Capital Campaign/</w:t>
              <w:tab/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Underwriting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Tana Lopez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Founding Chair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Guardian Angel Emeritus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Louise Thomas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Guardian Angels </w:t>
              <w:tab/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Cheryl Cox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Adaline Klemmedson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Vickie Butler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Chair Elect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Vicky Curtis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Recording Secretary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Christine Turner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Gracie Marum-Quiroz </w:t>
              <w:tab/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Parliamentarian/MAL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Laura Buckelew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Angel Ball Chair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Nanci Berens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2023 General Chair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Jeannie Nguyen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Events Chair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Betty Jo Weaver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Communications Chair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Valerie Fanelli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Solicitations Chair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Mary Coelet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Operations Chair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Cathy Solverson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Membership Liaison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Paige Cogdall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Board of Directors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Jeanne Silverberg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Shelene Taylor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Karla Looby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Kelly Medvec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Ariana Cornidez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Veronica McCuthcheon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Jennifer Nyman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Melissa Gibbons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Anna Martinez-Ross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Misty Arnold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Dorene Nichel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Jill Brooks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Cindy Robertson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Lia Keller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pStyle w:val="Heading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Style w:val="Heading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Month 00, 2024</w:t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Name(s)</w:t>
            </w:r>
          </w:p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Street</w:t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City, ST ZIP</w:t>
            </w:r>
          </w:p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left="-270" w:right="6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  Dear FORMAL Name(S),</w:t>
            </w:r>
          </w:p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 behalf of Angel Charity for Children and our 2024 beneficiaries, we  thank you for your support and generous donation  of $XX,XXX, on Month 00, 2024.  As we celebrate our 42nd year of raising funds to benefit the underserved children in our community, it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your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kindness that continues to help meet the various needs of the many children’s services in Pima County.</w:t>
            </w:r>
          </w:p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Angel Charity has a proud history of advancing its mission to improve the quality of life for children</w:t>
            </w:r>
          </w:p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our community.   We are grateful that you have chosen to partner with us once again.  100% of the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donations  go directly to our capital campaign to our beneficiaries.  </w:t>
            </w:r>
          </w:p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NAME(S), we know that you have many charitable options from which to choose. We are grateful to you for selecting Angel Charity for Children as a recipient of your kindness and generosity.   Certainly few investments could be more significant than those made on behalf of a child.  </w:t>
            </w:r>
          </w:p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jc w:val="both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40" w:before="40" w:lineRule="auto"/>
              <w:ind w:right="62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Thank you for helping Angels Work Miracles®.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40" w:befor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With Gratitude,</w:t>
            </w:r>
          </w:p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940118" cy="305538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118" cy="3055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651783" cy="314325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83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800100" cy="411962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119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802957" cy="337864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957" cy="3378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                                                      </w:t>
            </w:r>
          </w:p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Kellie Terhune Neely                 Dawn Darling                    Tana Lopez                             Tracy Gaspari</w:t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2024 General Chair                   2023 Vice Chair                2024 CCU Chair                      2024 CCU Coordinator</w:t>
            </w:r>
          </w:p>
          <w:p w:rsidR="00000000" w:rsidDel="00000000" w:rsidP="00000000" w:rsidRDefault="00000000" w:rsidRPr="00000000" w14:paraId="00000060">
            <w:pPr>
              <w:pStyle w:val="Heading4"/>
              <w:rPr>
                <w:sz w:val="24"/>
                <w:szCs w:val="24"/>
              </w:rPr>
            </w:pPr>
            <w:bookmarkStart w:colFirst="0" w:colLast="0" w:name="_heading=h.qinddi8tw8ef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tabs>
                <w:tab w:val="left" w:leader="none" w:pos="1788"/>
              </w:tabs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Style w:val="Heading4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73" w:top="173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3"/>
    </w:pPr>
    <w:rPr>
      <w:color w:val="000000"/>
      <w:sz w:val="20"/>
      <w:szCs w:val="20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jp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+/c0axAxxX3sB90py+eKKn98Rg==">CgMxLjAyDmgucWluZGRpOHR3OGVmOAByITFKd2lnTWhFOUY2MDR4eWlXMG0wU3VSR1lLR0RvVFVFUA==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2024-01-18T21:26:00Z</dcterms:created>
  <dc:creator>Becky Rebenstorf</dc:creator>
</cp:coreProperties>
</file>